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BF07" w14:textId="77777777" w:rsidR="00E840ED" w:rsidRPr="00E840ED" w:rsidRDefault="00E840ED" w:rsidP="00E840ED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</w:pPr>
      <w:r w:rsidRPr="00E840ED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>Prises de bénéfices sur le cuivre</w:t>
      </w:r>
    </w:p>
    <w:p w14:paraId="5E4FB9C2" w14:textId="77777777" w:rsidR="00E840ED" w:rsidRDefault="00E840ED" w:rsidP="00E840ED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</w:pPr>
    </w:p>
    <w:p w14:paraId="7FC537FD" w14:textId="7255BD65" w:rsidR="00E840ED" w:rsidRPr="00E840ED" w:rsidRDefault="00E840ED" w:rsidP="00E840ED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Les cours du 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u w:val="single"/>
          <w:lang w:eastAsia="fr-BE"/>
        </w:rPr>
        <w:t>cuivre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inscrivent une baisse sur la matinée, à Londres, où les investisseurs liquident leurs positions pour tirer profit des gains engrangés au cours des cinq dernières séances. Le métal rouge enregistre une contraction de 0,2% depuis l’ouverture à 8.867 $/t. « </w:t>
      </w:r>
      <w:r w:rsidRPr="00E840ED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  <w:t>Le cuivre a ses hauts et ses bas. Actuellement, les investisseurs opèrent des prises de bénéfices. Mais les fondamentaux du cuivre demeurent solides 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», estime Dan Smith, directeur de recherche pour </w:t>
      </w:r>
      <w:proofErr w:type="spellStart"/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Amalgamated</w:t>
      </w:r>
      <w:proofErr w:type="spellEnd"/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</w:t>
      </w:r>
      <w:proofErr w:type="spellStart"/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Metal</w:t>
      </w:r>
      <w:proofErr w:type="spellEnd"/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Trading, ajoutant que les signes de reprise de la demande chinoise et le recul du dollar continuent de soutenir les métaux. En Chine, la demande saisonnière progresse et elle s’ajoute à celle consécutive à la levée des mesures zéro-Covid. Les inquiétudes relatives à l’offre en cuivre ont ressurgi :  les </w:t>
      </w:r>
      <w:proofErr w:type="spellStart"/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cancelled</w:t>
      </w:r>
      <w:proofErr w:type="spellEnd"/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warrants (métal mis de côté en vue d’être livré) représentent 45% du volume total de warrants (à 73.475 tonnes) - ceci comparé à 29% il y a une semaine. Les contrats comptant et trois sont de fait en </w:t>
      </w:r>
      <w:proofErr w:type="spellStart"/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backwardation</w:t>
      </w:r>
      <w:proofErr w:type="spellEnd"/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depuis peu, ce qui n’avait plus été le cas depuis novembre 2022, mis à part la brève incursion de janvier.</w:t>
      </w:r>
    </w:p>
    <w:p w14:paraId="4C01D9CC" w14:textId="77777777" w:rsidR="00E840ED" w:rsidRPr="00E840ED" w:rsidRDefault="00E840ED" w:rsidP="00E840ED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Les autres métaux évoluent en ordre dispersé. L’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u w:val="single"/>
          <w:lang w:eastAsia="fr-BE"/>
        </w:rPr>
        <w:t>aluminium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, le 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u w:val="single"/>
          <w:lang w:eastAsia="fr-BE"/>
        </w:rPr>
        <w:t>plomb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et l’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u w:val="single"/>
          <w:lang w:eastAsia="fr-BE"/>
        </w:rPr>
        <w:t>étain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 progressent, respectivement de 0,8% (à 2.305 $/t), de 0,5% (2.127 $/t) et de 1,9% </w:t>
      </w:r>
      <w:proofErr w:type="gramStart"/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( 23.830</w:t>
      </w:r>
      <w:proofErr w:type="gramEnd"/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$/t). Le 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u w:val="single"/>
          <w:lang w:eastAsia="fr-BE"/>
        </w:rPr>
        <w:t>zinc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et le 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u w:val="single"/>
          <w:lang w:eastAsia="fr-BE"/>
        </w:rPr>
        <w:t>nickel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évoluent à l’équilibre, à 2.866 $/t et 22.450 $/t.</w:t>
      </w:r>
    </w:p>
    <w:p w14:paraId="7E0D4EBB" w14:textId="77777777" w:rsidR="00E840ED" w:rsidRPr="00E840ED" w:rsidRDefault="00E840ED" w:rsidP="00E840ED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L’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u w:val="single"/>
          <w:lang w:eastAsia="fr-BE"/>
        </w:rPr>
        <w:t>or</w:t>
      </w:r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 poursuit lui à la hausse (+0,3% à 1.975 $/once), la Fed ayant indiqué la </w:t>
      </w:r>
      <w:proofErr w:type="gramStart"/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fin</w:t>
      </w:r>
      <w:proofErr w:type="gramEnd"/>
      <w:r w:rsidRPr="00E840ED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possible de la hausse des taux.</w:t>
      </w:r>
    </w:p>
    <w:p w14:paraId="19D4B73D" w14:textId="77777777" w:rsidR="00D217C8" w:rsidRDefault="00D217C8"/>
    <w:sectPr w:rsidR="00D21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ED"/>
    <w:rsid w:val="00D217C8"/>
    <w:rsid w:val="00E8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39B0"/>
  <w15:chartTrackingRefBased/>
  <w15:docId w15:val="{0C2D7735-EBD7-4EB0-9C97-1A28C8DC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2023-03-24T07:07:00Z</dcterms:created>
  <dcterms:modified xsi:type="dcterms:W3CDTF">2023-03-24T07:07:00Z</dcterms:modified>
</cp:coreProperties>
</file>